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D383" w14:textId="722377F1" w:rsidR="00175EE0" w:rsidRPr="005C3D1D" w:rsidRDefault="005C3D1D" w:rsidP="00A0462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40"/>
          <w:szCs w:val="40"/>
          <w:lang w:eastAsia="it-IT"/>
          <w14:ligatures w14:val="none"/>
        </w:rPr>
      </w:pPr>
      <w:r w:rsidRPr="005C3D1D">
        <w:rPr>
          <w:rFonts w:ascii="Arial" w:eastAsia="Times New Roman" w:hAnsi="Arial" w:cs="Arial"/>
          <w:i/>
          <w:iCs/>
          <w:color w:val="002060"/>
          <w:kern w:val="36"/>
          <w:sz w:val="40"/>
          <w:szCs w:val="40"/>
          <w:lang w:eastAsia="it-IT"/>
          <w14:ligatures w14:val="none"/>
        </w:rPr>
        <w:t>Segnalazioni di Condotte Illecite (</w:t>
      </w:r>
      <w:r w:rsidR="00175EE0" w:rsidRPr="005C3D1D">
        <w:rPr>
          <w:rFonts w:ascii="Arial" w:eastAsia="Times New Roman" w:hAnsi="Arial" w:cs="Arial"/>
          <w:i/>
          <w:iCs/>
          <w:color w:val="002060"/>
          <w:kern w:val="36"/>
          <w:sz w:val="40"/>
          <w:szCs w:val="40"/>
          <w:lang w:eastAsia="it-IT"/>
          <w14:ligatures w14:val="none"/>
        </w:rPr>
        <w:t>Whistleblowing</w:t>
      </w:r>
      <w:r w:rsidRPr="005C3D1D">
        <w:rPr>
          <w:rFonts w:ascii="Arial" w:eastAsia="Times New Roman" w:hAnsi="Arial" w:cs="Arial"/>
          <w:i/>
          <w:iCs/>
          <w:color w:val="002060"/>
          <w:kern w:val="36"/>
          <w:sz w:val="40"/>
          <w:szCs w:val="40"/>
          <w:lang w:eastAsia="it-IT"/>
          <w14:ligatures w14:val="none"/>
        </w:rPr>
        <w:t>)</w:t>
      </w:r>
      <w:r w:rsidR="00175EE0" w:rsidRPr="005C3D1D">
        <w:rPr>
          <w:rFonts w:ascii="Arial" w:eastAsia="Times New Roman" w:hAnsi="Arial" w:cs="Arial"/>
          <w:i/>
          <w:iCs/>
          <w:color w:val="002060"/>
          <w:kern w:val="36"/>
          <w:sz w:val="40"/>
          <w:szCs w:val="40"/>
          <w:lang w:eastAsia="it-IT"/>
          <w14:ligatures w14:val="none"/>
        </w:rPr>
        <w:t xml:space="preserve"> </w:t>
      </w:r>
    </w:p>
    <w:p w14:paraId="28998B96" w14:textId="342F4923" w:rsidR="00175EE0" w:rsidRDefault="005C3D1D" w:rsidP="00175E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90909"/>
          <w:kern w:val="0"/>
          <w:sz w:val="16"/>
          <w:szCs w:val="16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15158DE6" wp14:editId="0777FB34">
            <wp:extent cx="2717650" cy="1227666"/>
            <wp:effectExtent l="0" t="0" r="6985" b="0"/>
            <wp:docPr id="1" name="Immagine 1" descr="Whistleblowing nel sistema sani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stleblowing nel sistema sanitar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04" cy="12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BF62" w14:textId="77777777" w:rsidR="00175EE0" w:rsidRDefault="00175EE0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90909"/>
          <w:kern w:val="0"/>
          <w:sz w:val="16"/>
          <w:szCs w:val="16"/>
          <w:lang w:eastAsia="it-IT"/>
          <w14:ligatures w14:val="none"/>
        </w:rPr>
      </w:pPr>
    </w:p>
    <w:p w14:paraId="5E9FA6CD" w14:textId="49B9E205" w:rsidR="00175EE0" w:rsidRDefault="00175EE0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175EE0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Il sistema di recezione e gestione delle segnalazioni, cosiddetto di «Whistleblowing», operativo </w:t>
      </w:r>
      <w:r w:rsidR="005C3D1D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presso </w:t>
      </w:r>
      <w:r w:rsidR="005C3D1D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br/>
      </w:r>
      <w:r w:rsidR="005C3D1D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“</w:t>
      </w:r>
      <w:r w:rsidR="004733F3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Centro per la Lotta Contro l’Infarto</w:t>
      </w:r>
      <w:r w:rsid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</w:t>
      </w:r>
      <w:r w:rsidR="005C3D1D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S.r.l.</w:t>
      </w:r>
      <w:r w:rsidR="00A144D0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”</w:t>
      </w:r>
      <w:r w:rsidR="005C3D1D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, </w:t>
      </w:r>
      <w:r w:rsidRPr="00175EE0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assicura il massimo grado di riservatezza nel trattamento delle segnalazioni ricevute, a tutela dell’identità della persona segnalante, delle persone coinvolte e delle persone comunque menzionate, nonché del contenuto della segnalazione e della relativa documentazione, in linea a quanto previsto </w:t>
      </w:r>
      <w:bookmarkStart w:id="0" w:name="_Hlk151984992"/>
      <w:r w:rsidRPr="00175EE0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dal D.</w:t>
      </w:r>
      <w:r w:rsidR="00D15CD8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L</w:t>
      </w:r>
      <w:r w:rsidRPr="00175EE0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gs. 10 marzo 2023, n. 24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.</w:t>
      </w:r>
      <w:bookmarkEnd w:id="0"/>
    </w:p>
    <w:p w14:paraId="7EC6AC8D" w14:textId="77777777" w:rsidR="005C3D1D" w:rsidRDefault="005C3D1D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</w:p>
    <w:p w14:paraId="42EF6866" w14:textId="77777777" w:rsidR="005C3D1D" w:rsidRPr="00CD1012" w:rsidRDefault="005C3D1D" w:rsidP="005C3D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</w:pPr>
      <w:r w:rsidRPr="00CD1012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  <w:t>Soggetti che possono inoltrare segnalazioni</w:t>
      </w:r>
    </w:p>
    <w:p w14:paraId="7584E379" w14:textId="06FE0CB4" w:rsidR="005C3D1D" w:rsidRPr="00F04935" w:rsidRDefault="005C3D1D" w:rsidP="005C3D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  <w:r w:rsidRPr="00CD1012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 xml:space="preserve">Il nuovo canale di segnalazione consentirà a tutti gli stakeholder (dipendenti, collaboratori, liberi professionisti e consulenti, chiunque operi all’interno del business aziendale, volontari e tirocinanti retribuiti e non retribuiti, azionisti e persone con funzioni di amministrazione, direzione, controllo, vigilanza o rappresentanza, personale di fornitori esterni </w:t>
      </w:r>
      <w:r w:rsidR="004733F3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 xml:space="preserve">al </w:t>
      </w:r>
      <w:r w:rsidRPr="005C3D1D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  <w:t xml:space="preserve"> </w:t>
      </w:r>
      <w:r w:rsidR="004733F3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“</w:t>
      </w:r>
      <w:r w:rsidR="004733F3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Centro per la Lotta Contro l’Infarto </w:t>
      </w:r>
      <w:r w:rsidR="004733F3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S.r.l.</w:t>
      </w:r>
      <w:r w:rsidR="004733F3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”</w:t>
      </w:r>
      <w:r w:rsidRPr="005C3D1D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  <w:t>,</w:t>
      </w:r>
      <w:r w:rsidRPr="00CD1012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 xml:space="preserve"> di segnalare, anche anonimamente eventuali inosservanze e/o violazioni, nonché fatti, situazioni od eventi dai quali si evincano la commissione, o la ragionevole convinzione di commissione, di reati e/o illeciti.</w:t>
      </w:r>
    </w:p>
    <w:p w14:paraId="180C4AFE" w14:textId="77777777" w:rsidR="00D15CD8" w:rsidRDefault="00D15CD8" w:rsidP="00175E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</w:pPr>
    </w:p>
    <w:p w14:paraId="322D4D65" w14:textId="5D1EBCE2" w:rsidR="00D15CD8" w:rsidRPr="00D15CD8" w:rsidRDefault="00CD1012" w:rsidP="00175E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</w:pPr>
      <w:r w:rsidRPr="00D15CD8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  <w:t xml:space="preserve">Oggetto </w:t>
      </w:r>
      <w:r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  <w:t>d</w:t>
      </w:r>
      <w:r w:rsidRPr="00D15CD8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  <w:t>elle Segnalazioni</w:t>
      </w:r>
    </w:p>
    <w:p w14:paraId="2A748E90" w14:textId="5E248A38" w:rsidR="00EA0E0F" w:rsidRDefault="00A962FB" w:rsidP="00A962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A962FB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A titolo esemplificativo</w:t>
      </w:r>
      <w:r w:rsidRPr="000B0B03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e non esaustivo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</w:t>
      </w:r>
      <w:r w:rsidRPr="00A962FB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possono essere segnalati fatti o situazioni in grado di arrecare un danno o un pregiudizio a</w:t>
      </w:r>
      <w:r w:rsidR="007C216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l </w:t>
      </w:r>
      <w:r w:rsidR="004733F3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“</w:t>
      </w:r>
      <w:r w:rsidR="004733F3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Centro per la Lotta Contro l’Infarto </w:t>
      </w:r>
      <w:r w:rsidR="004733F3"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S.r.l.</w:t>
      </w:r>
      <w:r w:rsidR="00EA0E0F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  <w:t xml:space="preserve">, </w:t>
      </w:r>
      <w:r w:rsidRPr="00A962FB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quali ad esempio: </w:t>
      </w:r>
    </w:p>
    <w:p w14:paraId="5D4EE60D" w14:textId="77777777" w:rsidR="00EA0E0F" w:rsidRPr="00EA0E0F" w:rsidRDefault="00EA0E0F" w:rsidP="00EA0E0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Illeciti amministrativi, contabili, civili o penali;</w:t>
      </w:r>
    </w:p>
    <w:p w14:paraId="36DC74DD" w14:textId="2CEE59E3" w:rsidR="00EA0E0F" w:rsidRPr="00EA0E0F" w:rsidRDefault="00EA0E0F" w:rsidP="00EA0E0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Condotte illecite (ai sensi del D. Lgs. 231/01 o violazione de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l</w:t>
      </w: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modell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o</w:t>
      </w: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organizzativ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o</w:t>
      </w: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e gestional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e</w:t>
      </w: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previst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o</w:t>
      </w: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 dallo stesso decreto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)</w:t>
      </w:r>
    </w:p>
    <w:p w14:paraId="427C0A97" w14:textId="77777777" w:rsidR="00EA0E0F" w:rsidRPr="00EA0E0F" w:rsidRDefault="00EA0E0F" w:rsidP="00EA0E0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Illeciti che rientrano nell’ambito di applicazione degli atti dell’UE o nazionali, nei settori degli appalti pubblici, servizi, prodotti e mercati finanziari e prevenzione del riciclaggio e del finanziamento del terrorismo, sicurezza e conformità dei prodotti, sicurezza dei trasporti, tutela dell’ambiente, radioprotezione e sicurezza nucleare, sicurezza degli alimenti mancini e salute e benessere degli animali, salute pubblica, protezione dei consumatori, tutela della privacy e delle reti e sistemi informativi;</w:t>
      </w:r>
    </w:p>
    <w:p w14:paraId="2BAF2790" w14:textId="77777777" w:rsidR="00EA0E0F" w:rsidRPr="00EA0E0F" w:rsidRDefault="00EA0E0F" w:rsidP="00EA0E0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Atti od omissioni che ledono interessi finanziari dell’UE;</w:t>
      </w:r>
    </w:p>
    <w:p w14:paraId="798D7795" w14:textId="77777777" w:rsidR="00EA0E0F" w:rsidRPr="00EA0E0F" w:rsidRDefault="00EA0E0F" w:rsidP="00EA0E0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Atti od omissioni riguardanti il mercato interno;</w:t>
      </w:r>
    </w:p>
    <w:p w14:paraId="16EAEFFA" w14:textId="146A6288" w:rsidR="00EA0E0F" w:rsidRPr="00697D18" w:rsidRDefault="00EA0E0F" w:rsidP="00A962FB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EA0E0F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Atti o comportamenti che vanificano l’oggetto o la finalità delle disposizioni UE nei settori richiamati dal decreto</w:t>
      </w:r>
      <w:r w:rsidR="00697D18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;</w:t>
      </w:r>
    </w:p>
    <w:p w14:paraId="74611CC0" w14:textId="44AE734B" w:rsidR="005679F5" w:rsidRPr="005679F5" w:rsidRDefault="005679F5" w:rsidP="00B37CE0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</w:pPr>
      <w:r w:rsidRPr="005679F5"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in generale, tutto quanto indicato dall’art. 2, comma 1, lettera a) e allegati richiamati del D.Lgs. n. 24/2023</w:t>
      </w:r>
      <w:r>
        <w:rPr>
          <w:rFonts w:ascii="Arial" w:eastAsia="Times New Roman" w:hAnsi="Arial" w:cs="Arial"/>
          <w:i/>
          <w:iCs/>
          <w:color w:val="002060"/>
          <w:kern w:val="0"/>
          <w:sz w:val="16"/>
          <w:szCs w:val="16"/>
          <w:lang w:eastAsia="it-IT"/>
          <w14:ligatures w14:val="none"/>
        </w:rPr>
        <w:t>.</w:t>
      </w:r>
    </w:p>
    <w:p w14:paraId="53445E58" w14:textId="77777777" w:rsidR="00D15CD8" w:rsidRPr="00D15CD8" w:rsidRDefault="00D15CD8" w:rsidP="007E201B">
      <w:pPr>
        <w:spacing w:before="120" w:after="0" w:line="240" w:lineRule="auto"/>
        <w:jc w:val="both"/>
        <w:rPr>
          <w:rStyle w:val="Enfasigrassetto"/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D15CD8">
        <w:rPr>
          <w:rStyle w:val="Enfasigrassetto"/>
          <w:rFonts w:ascii="Arial" w:hAnsi="Arial" w:cs="Arial"/>
          <w:color w:val="002060"/>
          <w:sz w:val="16"/>
          <w:szCs w:val="16"/>
          <w:shd w:val="clear" w:color="auto" w:fill="FFFFFF"/>
        </w:rPr>
        <w:t>Sono </w:t>
      </w:r>
      <w:r w:rsidRPr="00D15CD8">
        <w:rPr>
          <w:rStyle w:val="Enfasigrassetto"/>
          <w:rFonts w:ascii="Arial" w:hAnsi="Arial" w:cs="Arial"/>
          <w:b w:val="0"/>
          <w:bCs w:val="0"/>
          <w:color w:val="002060"/>
          <w:sz w:val="16"/>
          <w:szCs w:val="16"/>
          <w:shd w:val="clear" w:color="auto" w:fill="FFFFFF"/>
        </w:rPr>
        <w:t>escluse dalle violazioni segnalabili</w:t>
      </w:r>
      <w:r w:rsidRPr="00D15CD8">
        <w:rPr>
          <w:rStyle w:val="Enfasigrassetto"/>
          <w:rFonts w:ascii="Arial" w:hAnsi="Arial" w:cs="Arial"/>
          <w:color w:val="002060"/>
          <w:sz w:val="16"/>
          <w:szCs w:val="16"/>
          <w:shd w:val="clear" w:color="auto" w:fill="FFFFFF"/>
        </w:rPr>
        <w:t> le notizie prive di fondamento, le informazioni già di dominio pubblico, nonché i dati acquisiti sulla base di indiscrezioni o fonti scarsamente attendibili. Analogamente, non rientra nel perimetro delle segnalazioni tutto ciò che abbia ad oggetto contestazioni, rivendicazioni o richieste legate ad un interesse di carattere personale che attengano al rapporto individuale di lavoro della persona segnalante.</w:t>
      </w:r>
    </w:p>
    <w:p w14:paraId="2DFFFD4E" w14:textId="77777777" w:rsidR="00D15CD8" w:rsidRDefault="00D15CD8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u w:val="single"/>
          <w:lang w:eastAsia="it-IT"/>
          <w14:ligatures w14:val="none"/>
        </w:rPr>
      </w:pPr>
    </w:p>
    <w:p w14:paraId="12A103C3" w14:textId="4FF9D8D0" w:rsidR="00B37CE0" w:rsidRPr="00F04935" w:rsidRDefault="004733F3" w:rsidP="002859E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  <w:r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“</w:t>
      </w:r>
      <w:r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Centro per la Lotta Contro l’Infarto </w:t>
      </w:r>
      <w:r w:rsidRPr="005C3D1D"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>S.r.l.</w:t>
      </w:r>
      <w:r>
        <w:rPr>
          <w:rFonts w:ascii="Arial" w:eastAsia="Times New Roman" w:hAnsi="Arial" w:cs="Arial"/>
          <w:b/>
          <w:bCs/>
          <w:i/>
          <w:iCs/>
          <w:color w:val="002060"/>
          <w:kern w:val="0"/>
          <w:sz w:val="16"/>
          <w:szCs w:val="16"/>
          <w:lang w:eastAsia="it-IT"/>
          <w14:ligatures w14:val="none"/>
        </w:rPr>
        <w:t xml:space="preserve">” </w:t>
      </w:r>
      <w:r w:rsidR="00B37CE0" w:rsidRPr="00F04935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bdr w:val="none" w:sz="0" w:space="0" w:color="auto" w:frame="1"/>
          <w:lang w:eastAsia="it-IT"/>
          <w14:ligatures w14:val="none"/>
        </w:rPr>
        <w:t>tutela il segnalante "contro condotte ritorsive, discriminatorie o comunque sleali conseguenti la segnalazione"</w:t>
      </w:r>
      <w:r w:rsidR="00B37CE0" w:rsidRPr="00F04935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>, in un clima di rispetto della dignità del segnalante stesso.</w:t>
      </w:r>
    </w:p>
    <w:p w14:paraId="1F05CBE3" w14:textId="231FC8E0" w:rsidR="00B37CE0" w:rsidRPr="004733F3" w:rsidRDefault="00B37CE0" w:rsidP="002859E7">
      <w:pPr>
        <w:spacing w:before="120"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6"/>
          <w:szCs w:val="16"/>
          <w:shd w:val="clear" w:color="auto" w:fill="FFFFFF"/>
        </w:rPr>
      </w:pPr>
      <w:r w:rsidRPr="00B86000">
        <w:rPr>
          <w:rStyle w:val="Enfasigrassetto"/>
          <w:rFonts w:ascii="Arial" w:hAnsi="Arial" w:cs="Arial"/>
          <w:color w:val="FF0000"/>
          <w:sz w:val="16"/>
          <w:szCs w:val="16"/>
          <w:shd w:val="clear" w:color="auto" w:fill="FFFFFF"/>
        </w:rPr>
        <w:t>Attenzione:</w:t>
      </w:r>
      <w:r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 Qualsiasi Dipendente/Collaboratore/Terza Parte esterna che effettui una segnalazione in malafede o con dolo o che intenzionalmente e consapevolmente riporti informazioni errate (anche parziali) o fuorvianti, non beneficerà della tutela del Whistleblower. Inoltre, l'uso improprio del </w:t>
      </w:r>
      <w:r w:rsidR="00A75899"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>D</w:t>
      </w:r>
      <w:r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ispositivo di </w:t>
      </w:r>
      <w:r w:rsidR="00A75899"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>S</w:t>
      </w:r>
      <w:r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egnalazione può esporre il Whistleblower a sanzioni disciplinari e a procedimenti giudiziari in conformità con le disposizioni di legge locale applicabili e del Modello di </w:t>
      </w:r>
      <w:r w:rsidR="00A75899"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>O</w:t>
      </w:r>
      <w:r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>rganizzazione, Gestione e Controllo  ex D</w:t>
      </w:r>
      <w:r w:rsidR="00787CD5"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>.</w:t>
      </w:r>
      <w:r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t xml:space="preserve">Lgs 231/01 del </w:t>
      </w:r>
      <w:r w:rsidR="00A75899" w:rsidRPr="00B86000">
        <w:rPr>
          <w:rFonts w:ascii="Arial" w:hAnsi="Arial" w:cs="Arial"/>
          <w:color w:val="FF0000"/>
          <w:sz w:val="16"/>
          <w:szCs w:val="16"/>
          <w:shd w:val="clear" w:color="auto" w:fill="FFFFFF"/>
        </w:rPr>
        <w:br/>
      </w:r>
      <w:r w:rsidR="004733F3" w:rsidRPr="004733F3">
        <w:rPr>
          <w:rFonts w:ascii="Arial" w:hAnsi="Arial" w:cs="Arial"/>
          <w:b/>
          <w:bCs/>
          <w:i/>
          <w:iCs/>
          <w:color w:val="FF0000"/>
          <w:sz w:val="16"/>
          <w:szCs w:val="16"/>
          <w:shd w:val="clear" w:color="auto" w:fill="FFFFFF"/>
        </w:rPr>
        <w:t>“Centro per la Lotta Contro l’Infarto S.r.l.</w:t>
      </w:r>
      <w:r w:rsidR="004733F3">
        <w:rPr>
          <w:rFonts w:ascii="Arial" w:hAnsi="Arial" w:cs="Arial"/>
          <w:b/>
          <w:bCs/>
          <w:i/>
          <w:iCs/>
          <w:color w:val="FF0000"/>
          <w:sz w:val="16"/>
          <w:szCs w:val="16"/>
          <w:shd w:val="clear" w:color="auto" w:fill="FFFFFF"/>
        </w:rPr>
        <w:t>”</w:t>
      </w:r>
    </w:p>
    <w:p w14:paraId="71D722DA" w14:textId="15613274" w:rsidR="00B37CE0" w:rsidRDefault="00B37CE0" w:rsidP="00230B12">
      <w:pPr>
        <w:shd w:val="clear" w:color="auto" w:fill="FFFFFF"/>
        <w:spacing w:before="120" w:after="0" w:line="300" w:lineRule="atLeast"/>
        <w:jc w:val="both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  <w:r w:rsidRPr="00A04624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>Le segnalazioni possono essere inoltrate attraverso la </w:t>
      </w:r>
      <w:r w:rsidRPr="00A04624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bdr w:val="none" w:sz="0" w:space="0" w:color="auto" w:frame="1"/>
          <w:lang w:eastAsia="it-IT"/>
          <w14:ligatures w14:val="none"/>
        </w:rPr>
        <w:t>procedura informatica</w:t>
      </w:r>
      <w:r w:rsidRPr="00A04624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> dedicata raggiungibile attraverso il seguente link:</w:t>
      </w:r>
    </w:p>
    <w:p w14:paraId="1C11CCAE" w14:textId="77777777" w:rsidR="004733F3" w:rsidRPr="00A04624" w:rsidRDefault="004733F3" w:rsidP="004733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</w:p>
    <w:p w14:paraId="7C355723" w14:textId="77777777" w:rsidR="004733F3" w:rsidRPr="004733F3" w:rsidRDefault="004733F3" w:rsidP="004733F3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4733F3">
          <w:rPr>
            <w:rStyle w:val="Collegamentoipertestuale"/>
            <w:rFonts w:ascii="Arial" w:hAnsi="Arial" w:cs="Arial"/>
          </w:rPr>
          <w:t>https://centrolottainfarto.trusty.report/</w:t>
        </w:r>
      </w:hyperlink>
    </w:p>
    <w:p w14:paraId="11AAAC91" w14:textId="77777777" w:rsidR="004733F3" w:rsidRPr="004733F3" w:rsidRDefault="004733F3" w:rsidP="004733F3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14:paraId="499CBCAC" w14:textId="784B0EE1" w:rsidR="00B86000" w:rsidRPr="002075C9" w:rsidRDefault="00C34EE5" w:rsidP="00C34E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  <w:r w:rsidRPr="002075C9"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  <w:t>Nell’ambito del processo di gestione delle segnalazioni i dati personali sono trattati nel rispetto della normativa vigente in materia (Regolamento EU 679/2016 e D.Lgs. 101/2018). Nella presente pagina del sito web è possibile consultare l’Informativa sul Trattamento dei Dati Personali.</w:t>
      </w:r>
    </w:p>
    <w:p w14:paraId="187F8E2D" w14:textId="77777777" w:rsidR="00C34EE5" w:rsidRPr="002075C9" w:rsidRDefault="00C34EE5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060"/>
          <w:kern w:val="0"/>
          <w:sz w:val="16"/>
          <w:szCs w:val="16"/>
          <w:lang w:eastAsia="it-IT"/>
          <w14:ligatures w14:val="none"/>
        </w:rPr>
      </w:pPr>
    </w:p>
    <w:p w14:paraId="06162721" w14:textId="3B049424" w:rsidR="001324AD" w:rsidRPr="001324AD" w:rsidRDefault="001324AD" w:rsidP="001324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</w:pPr>
      <w:r w:rsidRPr="001324AD">
        <w:rPr>
          <w:rFonts w:ascii="Arial" w:eastAsia="Times New Roman" w:hAnsi="Arial" w:cs="Arial"/>
          <w:b/>
          <w:bCs/>
          <w:color w:val="002060"/>
          <w:kern w:val="0"/>
          <w:sz w:val="16"/>
          <w:szCs w:val="16"/>
          <w:lang w:eastAsia="it-IT"/>
          <w14:ligatures w14:val="none"/>
        </w:rPr>
        <w:t>ALTRI CANALI DI SEGNALAZIONE</w:t>
      </w:r>
    </w:p>
    <w:p w14:paraId="66B84FD3" w14:textId="77777777" w:rsidR="004623C1" w:rsidRPr="005B5905" w:rsidRDefault="004623C1" w:rsidP="00B37CE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90909"/>
          <w:kern w:val="0"/>
          <w:sz w:val="16"/>
          <w:szCs w:val="16"/>
          <w:lang w:eastAsia="it-IT"/>
          <w14:ligatures w14:val="none"/>
        </w:rPr>
      </w:pPr>
    </w:p>
    <w:tbl>
      <w:tblPr>
        <w:tblW w:w="514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8650"/>
      </w:tblGrid>
      <w:tr w:rsidR="000B0B03" w:rsidRPr="00E81FBB" w14:paraId="53000245" w14:textId="77777777" w:rsidTr="001324AD">
        <w:trPr>
          <w:trHeight w:val="974"/>
          <w:tblCellSpacing w:w="15" w:type="dxa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F07" w14:textId="43049F7F" w:rsidR="00B86000" w:rsidRPr="00222BB6" w:rsidRDefault="00E4360B" w:rsidP="00C34EE5">
            <w:pPr>
              <w:spacing w:after="0" w:line="240" w:lineRule="auto"/>
              <w:jc w:val="center"/>
            </w:pPr>
            <w:r w:rsidRPr="00841B72">
              <w:rPr>
                <w:noProof/>
              </w:rPr>
              <w:drawing>
                <wp:inline distT="0" distB="0" distL="0" distR="0" wp14:anchorId="2367AD98" wp14:editId="40D40A59">
                  <wp:extent cx="325966" cy="205449"/>
                  <wp:effectExtent l="0" t="0" r="0" b="4445"/>
                  <wp:docPr id="688207643" name="Immagine 3" descr="http://www.gambaservice.com/Grafica/lett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http://www.gambaservice.com/Grafica/lett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22" cy="20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0DE" w14:textId="56AB88A9" w:rsidR="00B86000" w:rsidRPr="002075C9" w:rsidRDefault="00EE1C6F" w:rsidP="00C34EE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</w:rPr>
            </w:pPr>
            <w:r w:rsidRPr="002075C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Per Posta ordinaria</w:t>
            </w:r>
            <w:r w:rsidR="00B86000" w:rsidRPr="002075C9">
              <w:rPr>
                <w:rFonts w:ascii="Times New Roman" w:hAnsi="Times New Roman"/>
                <w:color w:val="002060"/>
              </w:rPr>
              <w:t xml:space="preserve">: 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>all'indirizzo</w:t>
            </w:r>
            <w:r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di </w:t>
            </w:r>
            <w:r w:rsidR="004733F3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 xml:space="preserve">Centro per la Lotta Contro l’Infarto </w:t>
            </w:r>
            <w:r w:rsidR="004733F3" w:rsidRPr="005C3D1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S.r.l.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Via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>Pontremoli, 26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>00182 Roma (RM)</w:t>
            </w:r>
            <w:r w:rsidR="00F167E8" w:rsidRPr="002075C9">
              <w:rPr>
                <w:rFonts w:ascii="Arial" w:hAnsi="Arial" w:cs="Arial"/>
                <w:color w:val="002060"/>
                <w:sz w:val="16"/>
                <w:szCs w:val="16"/>
              </w:rPr>
              <w:t>,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 all’attenzione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>del Gestore delle Segnalazioni/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>Organismo di Vigilanza</w:t>
            </w:r>
            <w:r w:rsidR="00F167E8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 (OdV)</w:t>
            </w:r>
            <w:r w:rsidR="007C216F">
              <w:rPr>
                <w:rFonts w:ascii="Arial" w:hAnsi="Arial" w:cs="Arial"/>
                <w:color w:val="002060"/>
                <w:sz w:val="16"/>
                <w:szCs w:val="16"/>
              </w:rPr>
              <w:t xml:space="preserve">. 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A garanzia della riservatezza del segnalante, è necessario che la missiva sia inserita in una busta chiusa e rechi la dicitura </w:t>
            </w:r>
            <w:r w:rsidR="002D40E3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“RISERVATO-WHISTLEBLOWING” 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>al soggetto destinatario della stessa</w:t>
            </w:r>
          </w:p>
        </w:tc>
      </w:tr>
      <w:tr w:rsidR="000B0B03" w:rsidRPr="00E81FBB" w14:paraId="3B384193" w14:textId="77777777" w:rsidTr="001324AD">
        <w:trPr>
          <w:trHeight w:val="616"/>
          <w:tblCellSpacing w:w="15" w:type="dxa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0F1" w14:textId="2078F62E" w:rsidR="00B86000" w:rsidRPr="00222BB6" w:rsidRDefault="000B0B03" w:rsidP="00C34EE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B88F6EF" wp14:editId="0A17D72B">
                  <wp:extent cx="402166" cy="375010"/>
                  <wp:effectExtent l="0" t="0" r="0" b="6350"/>
                  <wp:docPr id="37929182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91824" name=""/>
                          <pic:cNvPicPr/>
                        </pic:nvPicPr>
                        <pic:blipFill>
                          <a:blip r:embed="rId11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97" cy="38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4928" w14:textId="27E358E0" w:rsidR="00B86000" w:rsidRPr="002075C9" w:rsidRDefault="00E4360B" w:rsidP="00C34EE5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075C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Comunicazioni Verbali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: nel caso di segnalazioni verbali (anche telefoniche),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>il Gestore delle Segnalazioni/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>OdV ha il dovere di mantenere l'anonimato, se richiesto, del lavoratore da cui riceve la comunicazione.</w:t>
            </w:r>
          </w:p>
        </w:tc>
      </w:tr>
      <w:tr w:rsidR="000B0B03" w:rsidRPr="00E81FBB" w14:paraId="02F44596" w14:textId="77777777" w:rsidTr="001324AD">
        <w:trPr>
          <w:trHeight w:val="439"/>
          <w:tblCellSpacing w:w="15" w:type="dxa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07E" w14:textId="5430C48B" w:rsidR="00B86000" w:rsidRPr="00222BB6" w:rsidRDefault="00E4360B" w:rsidP="00C34EE5">
            <w:pPr>
              <w:spacing w:after="0" w:line="240" w:lineRule="auto"/>
              <w:jc w:val="center"/>
            </w:pPr>
            <w:r w:rsidRPr="00841B72">
              <w:rPr>
                <w:noProof/>
              </w:rPr>
              <w:drawing>
                <wp:inline distT="0" distB="0" distL="0" distR="0" wp14:anchorId="6DF0D90B" wp14:editId="0D0126C1">
                  <wp:extent cx="266700" cy="212821"/>
                  <wp:effectExtent l="0" t="0" r="0" b="0"/>
                  <wp:docPr id="438197555" name="Immagine 4" descr="http://www.gambaservice.com/Grafica/m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http://www.gambaservice.com/Grafica/m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66" cy="21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AA4E" w14:textId="1E8D60D1" w:rsidR="00B86000" w:rsidRPr="002075C9" w:rsidRDefault="00536441" w:rsidP="00C34EE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</w:rPr>
            </w:pPr>
            <w:r w:rsidRPr="002075C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 Mano</w:t>
            </w:r>
            <w:r w:rsidR="00B86000" w:rsidRPr="002075C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: </w:t>
            </w:r>
            <w:r w:rsidR="00B86000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attraverso un modulo standard di segnalazione </w:t>
            </w:r>
            <w:r w:rsidR="00E4360B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da recapitare personalmente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 xml:space="preserve">al </w:t>
            </w:r>
            <w:r w:rsidR="004733F3">
              <w:rPr>
                <w:rFonts w:ascii="Arial" w:hAnsi="Arial" w:cs="Arial"/>
                <w:color w:val="002060"/>
                <w:sz w:val="16"/>
                <w:szCs w:val="16"/>
              </w:rPr>
              <w:t>Gestore delle Segnalazioni/</w:t>
            </w:r>
            <w:r w:rsidR="004733F3" w:rsidRPr="002075C9">
              <w:rPr>
                <w:rFonts w:ascii="Arial" w:hAnsi="Arial" w:cs="Arial"/>
                <w:color w:val="002060"/>
                <w:sz w:val="16"/>
                <w:szCs w:val="16"/>
              </w:rPr>
              <w:t xml:space="preserve">OdV </w:t>
            </w:r>
          </w:p>
        </w:tc>
      </w:tr>
    </w:tbl>
    <w:p w14:paraId="3601A3BE" w14:textId="77777777" w:rsidR="00C34EE5" w:rsidRPr="00A572FA" w:rsidRDefault="00C34EE5" w:rsidP="00153D2F">
      <w:pPr>
        <w:rPr>
          <w:rFonts w:ascii="Arial" w:hAnsi="Arial" w:cs="Arial"/>
          <w:sz w:val="20"/>
          <w:szCs w:val="20"/>
        </w:rPr>
      </w:pPr>
    </w:p>
    <w:sectPr w:rsidR="00C34EE5" w:rsidRPr="00A572FA" w:rsidSect="00E4360B">
      <w:pgSz w:w="11906" w:h="16838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A621" w14:textId="77777777" w:rsidR="000A2267" w:rsidRDefault="000A2267" w:rsidP="00E4360B">
      <w:pPr>
        <w:spacing w:after="0" w:line="240" w:lineRule="auto"/>
      </w:pPr>
      <w:r>
        <w:separator/>
      </w:r>
    </w:p>
  </w:endnote>
  <w:endnote w:type="continuationSeparator" w:id="0">
    <w:p w14:paraId="6A706A47" w14:textId="77777777" w:rsidR="000A2267" w:rsidRDefault="000A2267" w:rsidP="00E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EA22" w14:textId="77777777" w:rsidR="000A2267" w:rsidRDefault="000A2267" w:rsidP="00E4360B">
      <w:pPr>
        <w:spacing w:after="0" w:line="240" w:lineRule="auto"/>
      </w:pPr>
      <w:r>
        <w:separator/>
      </w:r>
    </w:p>
  </w:footnote>
  <w:footnote w:type="continuationSeparator" w:id="0">
    <w:p w14:paraId="6C25905F" w14:textId="77777777" w:rsidR="000A2267" w:rsidRDefault="000A2267" w:rsidP="00E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3018"/>
    <w:multiLevelType w:val="hybridMultilevel"/>
    <w:tmpl w:val="64D0F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67A76"/>
    <w:multiLevelType w:val="multilevel"/>
    <w:tmpl w:val="850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77D79"/>
    <w:multiLevelType w:val="multilevel"/>
    <w:tmpl w:val="CFB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F54D2"/>
    <w:multiLevelType w:val="multilevel"/>
    <w:tmpl w:val="8962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D2B4F"/>
    <w:multiLevelType w:val="hybridMultilevel"/>
    <w:tmpl w:val="3BE66E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C0DDB"/>
    <w:multiLevelType w:val="hybridMultilevel"/>
    <w:tmpl w:val="9B048110"/>
    <w:lvl w:ilvl="0" w:tplc="233AB7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65E18"/>
    <w:multiLevelType w:val="hybridMultilevel"/>
    <w:tmpl w:val="1936ADC2"/>
    <w:lvl w:ilvl="0" w:tplc="233AB742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514068"/>
    <w:multiLevelType w:val="hybridMultilevel"/>
    <w:tmpl w:val="1FE860A6"/>
    <w:lvl w:ilvl="0" w:tplc="3E803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908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367A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0AA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48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E24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0D6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816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D6F6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281"/>
    <w:multiLevelType w:val="multilevel"/>
    <w:tmpl w:val="3FB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8594367">
    <w:abstractNumId w:val="2"/>
  </w:num>
  <w:num w:numId="2" w16cid:durableId="705182521">
    <w:abstractNumId w:val="5"/>
  </w:num>
  <w:num w:numId="3" w16cid:durableId="1953977534">
    <w:abstractNumId w:val="6"/>
  </w:num>
  <w:num w:numId="4" w16cid:durableId="1532717691">
    <w:abstractNumId w:val="1"/>
  </w:num>
  <w:num w:numId="5" w16cid:durableId="472913250">
    <w:abstractNumId w:val="3"/>
  </w:num>
  <w:num w:numId="6" w16cid:durableId="883370026">
    <w:abstractNumId w:val="7"/>
  </w:num>
  <w:num w:numId="7" w16cid:durableId="260798241">
    <w:abstractNumId w:val="0"/>
  </w:num>
  <w:num w:numId="8" w16cid:durableId="956915480">
    <w:abstractNumId w:val="4"/>
  </w:num>
  <w:num w:numId="9" w16cid:durableId="106974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0"/>
    <w:rsid w:val="00002A56"/>
    <w:rsid w:val="00017D5A"/>
    <w:rsid w:val="00040BC4"/>
    <w:rsid w:val="000A2267"/>
    <w:rsid w:val="000B0B03"/>
    <w:rsid w:val="001324AD"/>
    <w:rsid w:val="00153D2F"/>
    <w:rsid w:val="00166A40"/>
    <w:rsid w:val="00175EE0"/>
    <w:rsid w:val="00180A5E"/>
    <w:rsid w:val="001A24D7"/>
    <w:rsid w:val="001F7C9D"/>
    <w:rsid w:val="002075C9"/>
    <w:rsid w:val="00230B12"/>
    <w:rsid w:val="002859E7"/>
    <w:rsid w:val="002A4080"/>
    <w:rsid w:val="002D40E3"/>
    <w:rsid w:val="002F3B0C"/>
    <w:rsid w:val="003607F8"/>
    <w:rsid w:val="004623C1"/>
    <w:rsid w:val="004704F3"/>
    <w:rsid w:val="004733F3"/>
    <w:rsid w:val="00487506"/>
    <w:rsid w:val="005017BA"/>
    <w:rsid w:val="00536441"/>
    <w:rsid w:val="005679F5"/>
    <w:rsid w:val="005C3D1D"/>
    <w:rsid w:val="006111CD"/>
    <w:rsid w:val="0061415D"/>
    <w:rsid w:val="00696B41"/>
    <w:rsid w:val="00697D18"/>
    <w:rsid w:val="006D03F8"/>
    <w:rsid w:val="006D1C70"/>
    <w:rsid w:val="006F2D9C"/>
    <w:rsid w:val="007011E4"/>
    <w:rsid w:val="00717FDF"/>
    <w:rsid w:val="00721B0D"/>
    <w:rsid w:val="00787CD5"/>
    <w:rsid w:val="007C216F"/>
    <w:rsid w:val="007C57AB"/>
    <w:rsid w:val="007D5BE9"/>
    <w:rsid w:val="007E201B"/>
    <w:rsid w:val="007F256A"/>
    <w:rsid w:val="00803136"/>
    <w:rsid w:val="008E0D2E"/>
    <w:rsid w:val="009923B3"/>
    <w:rsid w:val="009F4F90"/>
    <w:rsid w:val="00A04624"/>
    <w:rsid w:val="00A144D0"/>
    <w:rsid w:val="00A40385"/>
    <w:rsid w:val="00A40F16"/>
    <w:rsid w:val="00A448DA"/>
    <w:rsid w:val="00A47C13"/>
    <w:rsid w:val="00A52191"/>
    <w:rsid w:val="00A572FA"/>
    <w:rsid w:val="00A75899"/>
    <w:rsid w:val="00A962FB"/>
    <w:rsid w:val="00AA688A"/>
    <w:rsid w:val="00AB309A"/>
    <w:rsid w:val="00B073AD"/>
    <w:rsid w:val="00B24E1A"/>
    <w:rsid w:val="00B26EFE"/>
    <w:rsid w:val="00B37CE0"/>
    <w:rsid w:val="00B823CA"/>
    <w:rsid w:val="00B86000"/>
    <w:rsid w:val="00B866AE"/>
    <w:rsid w:val="00B87AAA"/>
    <w:rsid w:val="00B96EE7"/>
    <w:rsid w:val="00C308F5"/>
    <w:rsid w:val="00C34EE5"/>
    <w:rsid w:val="00C44874"/>
    <w:rsid w:val="00C742D7"/>
    <w:rsid w:val="00C90506"/>
    <w:rsid w:val="00CC5A9E"/>
    <w:rsid w:val="00CD1012"/>
    <w:rsid w:val="00D153E6"/>
    <w:rsid w:val="00D15CD8"/>
    <w:rsid w:val="00E4360B"/>
    <w:rsid w:val="00E7424A"/>
    <w:rsid w:val="00EA0E0F"/>
    <w:rsid w:val="00EB4211"/>
    <w:rsid w:val="00EC30E3"/>
    <w:rsid w:val="00EC457D"/>
    <w:rsid w:val="00EC5306"/>
    <w:rsid w:val="00EE1C6F"/>
    <w:rsid w:val="00F04935"/>
    <w:rsid w:val="00F06ED3"/>
    <w:rsid w:val="00F167E8"/>
    <w:rsid w:val="00F539B1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23AB"/>
  <w15:chartTrackingRefBased/>
  <w15:docId w15:val="{BA47891C-519B-4912-A43C-6AF15D4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CE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0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37CE0"/>
    <w:rPr>
      <w:b/>
      <w:bCs/>
    </w:rPr>
  </w:style>
  <w:style w:type="paragraph" w:styleId="NormaleWeb">
    <w:name w:val="Normal (Web)"/>
    <w:basedOn w:val="Normale"/>
    <w:uiPriority w:val="99"/>
    <w:unhideWhenUsed/>
    <w:rsid w:val="0023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uiPriority w:val="99"/>
    <w:unhideWhenUsed/>
    <w:rsid w:val="00B8600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09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3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60B"/>
  </w:style>
  <w:style w:type="paragraph" w:styleId="Pidipagina">
    <w:name w:val="footer"/>
    <w:basedOn w:val="Normale"/>
    <w:link w:val="PidipaginaCarattere"/>
    <w:uiPriority w:val="99"/>
    <w:unhideWhenUsed/>
    <w:rsid w:val="00E43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0B"/>
  </w:style>
  <w:style w:type="paragraph" w:styleId="Paragrafoelenco">
    <w:name w:val="List Paragraph"/>
    <w:basedOn w:val="Normale"/>
    <w:uiPriority w:val="34"/>
    <w:qFormat/>
    <w:rsid w:val="00153D2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0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C3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ntrolottainfarto.trusty.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20B2-2F4A-4450-9DEF-422F2193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Nicola Tarsitano</cp:lastModifiedBy>
  <cp:revision>19</cp:revision>
  <dcterms:created xsi:type="dcterms:W3CDTF">2023-11-09T16:28:00Z</dcterms:created>
  <dcterms:modified xsi:type="dcterms:W3CDTF">2025-10-08T09:32:00Z</dcterms:modified>
</cp:coreProperties>
</file>